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E9" w:rsidRDefault="003F3CE9" w:rsidP="0028191A">
      <w:pPr>
        <w:shd w:val="clear" w:color="auto" w:fill="FFFFFF"/>
        <w:spacing w:after="0" w:line="311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>
            <wp:extent cx="5934075" cy="9020175"/>
            <wp:effectExtent l="0" t="0" r="9525" b="9525"/>
            <wp:docPr id="2" name="Рисунок 2" descr="C:\Users\Секретарь-2этаж\Pictures\ControlCenter4\Scan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кретарь-2этаж\Pictures\ControlCenter4\Scan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CE9" w:rsidRDefault="003F3CE9" w:rsidP="0028191A">
      <w:pPr>
        <w:shd w:val="clear" w:color="auto" w:fill="FFFFFF"/>
        <w:spacing w:after="0" w:line="311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3BE5" w:rsidRPr="0028191A" w:rsidRDefault="00BD3BE5" w:rsidP="0028191A">
      <w:pPr>
        <w:pStyle w:val="a3"/>
        <w:numPr>
          <w:ilvl w:val="0"/>
          <w:numId w:val="1"/>
        </w:numPr>
        <w:shd w:val="clear" w:color="auto" w:fill="FFFFFF"/>
        <w:spacing w:after="0" w:line="311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GoBack"/>
      <w:bookmarkEnd w:id="0"/>
      <w:r w:rsidRPr="0028191A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Общие положения</w:t>
      </w:r>
    </w:p>
    <w:p w:rsidR="009868FD" w:rsidRDefault="009868FD" w:rsidP="009868F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9868FD" w:rsidRPr="009868FD" w:rsidRDefault="009868FD" w:rsidP="002819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1.1 Настоящие правила </w:t>
      </w:r>
      <w:r w:rsidR="00F4144C" w:rsidRPr="00F414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приема, пер</w:t>
      </w:r>
      <w:r w:rsidR="00F414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евода и отчисления спортсменов, 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проходящих спортивную и </w:t>
      </w:r>
      <w:proofErr w:type="spellStart"/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предспортивную</w:t>
      </w:r>
      <w:proofErr w:type="spellEnd"/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подготовку Государственного бюджетного учреждения</w:t>
      </w:r>
      <w:r w:rsidR="00F414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спортивная школа олимпийского резерва по дзюдо Калининского района </w:t>
      </w:r>
      <w:r w:rsidR="00612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Санкт-Петербурга имени А.С. Рахлина</w:t>
      </w:r>
      <w:r w:rsidR="00612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281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 </w:t>
      </w:r>
      <w:r w:rsidR="00F414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далее Учреждение</w:t>
      </w:r>
      <w:r w:rsidR="00281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414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) разработаны в соответствии с </w:t>
      </w:r>
      <w:r w:rsidR="00F4144C" w:rsidRPr="00F414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</w:t>
      </w:r>
      <w:r w:rsidR="00612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едеральный законом</w:t>
      </w:r>
      <w:r w:rsidR="00F4144C" w:rsidRPr="00F414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04.12.2007 N 329 "О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12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физической 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культуре и спорте в Российской Федерации", распоряжением </w:t>
      </w:r>
      <w:r w:rsidR="00281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="00612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дминистрации Калининского района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29.12.2017 </w:t>
      </w:r>
      <w:r w:rsidR="00612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</w:t>
      </w:r>
      <w:r w:rsidR="00612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1016-р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«Об утверждении Правил приема лиц в государственные учреждения </w:t>
      </w:r>
      <w:r w:rsidR="00612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Санкт-Петербурга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осуществляющие спортивную подготовку, в отношении которых </w:t>
      </w:r>
      <w:r w:rsidR="00612AB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администрация Калининского района Санкт-Петербурга 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осуществляет функции и полномочия учредителя».</w:t>
      </w:r>
    </w:p>
    <w:p w:rsidR="009868FD" w:rsidRPr="009868FD" w:rsidRDefault="009868FD" w:rsidP="002819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1.2 Настоящие Правила регламентируют прием лиц в </w:t>
      </w:r>
      <w:r w:rsidR="00281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Учреждение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для освоения программам спортивной, предспортивной подготовки по вид</w:t>
      </w:r>
      <w:r w:rsidR="00281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спорта </w:t>
      </w:r>
      <w:r w:rsidR="0028191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дзюдо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</w:p>
    <w:p w:rsidR="009868FD" w:rsidRPr="001505C9" w:rsidRDefault="001505C9" w:rsidP="001505C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Правила п</w:t>
      </w:r>
      <w:r w:rsidR="009868FD" w:rsidRPr="001505C9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рием</w:t>
      </w:r>
      <w:r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а</w:t>
      </w:r>
      <w:r w:rsidR="009868FD" w:rsidRPr="001505C9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в </w:t>
      </w:r>
      <w:r w:rsidR="0028191A" w:rsidRPr="001505C9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Учреждение</w:t>
      </w:r>
    </w:p>
    <w:p w:rsidR="009868FD" w:rsidRPr="009868FD" w:rsidRDefault="009868FD" w:rsidP="0028191A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 этап начальной подготовки и тренировочный этап на основании результатов индивидуального и, при необходимости, конкурсного отборов (далее отбор), с учетом антроп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ометрических данных поступающих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 этап совершенствования спортивного мастерства (далее - ССМ) на основе отбора спортсменов, выполнивших требования спортивного разряда не н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иже «Кандидат в мастера спорта»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 этап высшего спортивного мастерства (далее - ВСМ) на основе отбора спортсменов, выполнивших требования спортивного звания не ниже «Мастер спорта Рос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сии»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Решение о включении спортсменов в состав групп ССМ и ВСМ </w:t>
      </w:r>
      <w:r w:rsidR="001505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Учреждения 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входит в полномочия Комиссии по обеспечению подготовки спортивного резерва для спортивных сборных команд по различным видам спорта, утвержденной распоряжением Комитета по физической культуре и спорту от 27.05.2011 № 80-р «О создании Комиссии по обеспечению подготовки спортивного резерва для спортивных сборных ко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манд по различным видам спорта».</w:t>
      </w:r>
    </w:p>
    <w:p w:rsidR="009868FD" w:rsidRPr="001505C9" w:rsidRDefault="009868FD" w:rsidP="001505C9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1505C9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  <w:t>Правила перевода на следующий этап (период этапа) подготовки.</w:t>
      </w:r>
    </w:p>
    <w:p w:rsidR="009868FD" w:rsidRPr="009868FD" w:rsidRDefault="001505C9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.1 Лица, занимающиеся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Учреждении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могут быть переведены на следующий этап (период этапа) спортивной, предспортивной подготовки при соблюдении следующих требований:</w:t>
      </w:r>
    </w:p>
    <w:p w:rsidR="001505C9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1505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ыполнение нормативов по общей физической и специальной физической подготовке на каждом периоде этапа спортивной, предспортивной подготовки с учетом 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возраста и влияния физических качеств и телосложен</w:t>
      </w:r>
      <w:r w:rsidR="001505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ия на результативность по виду спорта дзюдо.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868FD" w:rsidRPr="009868FD" w:rsidRDefault="001505C9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аличие положительной динамики уровня подготовленности в соответствии 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индивидуальными особенностями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1505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своение объемов тренировочных нагрузок, предусмотренных программами спортивной, предспортивной подготовки по вид</w:t>
      </w:r>
      <w:r w:rsidR="001505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спорта </w:t>
      </w:r>
      <w:r w:rsidR="001505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дзюдо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1505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оложительные результаты контрольных нормативов, проводимых </w:t>
      </w:r>
      <w:r w:rsidR="001505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Учреждением.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1505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оложительные результаты конкурсных отборов, проводимых </w:t>
      </w:r>
      <w:r w:rsidR="001505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Учреждением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 необходимости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1505C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оложительные результа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ты выступлений на соревнованиях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433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ыполнение (подтверждение) требований норм присвоен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ия спортивных разрядов и званий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положительн</w:t>
      </w:r>
      <w:r w:rsidR="00433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ое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медицинско</w:t>
      </w:r>
      <w:r w:rsidR="00433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заключени</w:t>
      </w:r>
      <w:r w:rsidR="00433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 прохождении медицинского осмотра, углубленного медицинского обследования в соответствии с этапом подготовки, на который зачисля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ются (переводятся) </w:t>
      </w:r>
      <w:r w:rsidR="00A77E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</w:t>
      </w:r>
      <w:r w:rsidR="00433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ортсмены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.2 Перевод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спортсменов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следующий этап (период этапа) спортивной, предспортивной подготовки производится в соответствии с решением тренерского совета 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Учреждения.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.3 </w:t>
      </w:r>
      <w:r w:rsidR="00914D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Спортсмены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не выполнившие перечисленные выше требования, на следующий этап (период этапа) спортивной, предспортивной подготовки не переводятся, но могут, по решению тренерского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повторно продолжить спортивную подготовку, но не более одного раза на том же этапе спортивной подготовки.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.4 По решению тренерского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на основании медицинского заключения о физическом состоянии спортсменов возможен их перевод через период этапа спортивной, предспортивной подготовки.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.5 Перевод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спортсменов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следующий этап (период этапа) спортивной, предспортивной подготовки осуществляется один раз в начале текущего (тренировочного) года.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.6 Перевод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спортсменов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от тренера к тренеру в одном учреждении осуществляется в начале текущего (тренировочного) года, за исключением перевода на основании личного заявления и (или) заявления одного из родителей (законных представителей) при наличии обоснованных причин и по решению тренерского совета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433171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.7 Переход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спортсменов 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другую спортивную организацию в течение года осуществляется в соответствии с действующим законодательством и нормативными актами федераци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спорта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дзюдо.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3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.8 Решение о переводе </w:t>
      </w:r>
      <w:r w:rsidR="00A77E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спортсменов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следующий этап (период этапа подготовки) спортивной, предспортивной подготовки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утверждается приказом директора.</w:t>
      </w:r>
    </w:p>
    <w:p w:rsidR="009868FD" w:rsidRPr="00433171" w:rsidRDefault="00433171" w:rsidP="0043317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</w:t>
      </w:r>
      <w:r w:rsidR="009868FD" w:rsidRPr="0043317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 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равила</w:t>
      </w:r>
      <w:r w:rsidR="009868FD" w:rsidRPr="00433171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отчисления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Спортсмены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могут быть отчислены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следующих случаях: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433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 основании личного заявления и (или) заявления одного из родителей (законных представителей).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433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 решению тренерского совета </w:t>
      </w:r>
      <w:r w:rsidR="00433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Основанием для отчисления по решению тренерского совета </w:t>
      </w:r>
      <w:r w:rsidR="0043317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является: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спортсменами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требований, предусмотренных пунктом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.1 настоящих правил.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еисполнение или нарушение устава учреждения, правил внутреннего распорядка и иных локальных нормативных актов учреждения.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евозможность по медицинским показаниям заниматься избранным видом спорта (при наличии соответствующего медицинского заключения).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становление использования или попытки использования лицом, проходящим спортивную подготовку, субстанции и (или) метода, которые включены в перечни субстанций и (или) методов, запрещенных для использования в спорте.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ропуск тренировочных занятий без уважительных причин более 1 месяца подряд.</w:t>
      </w:r>
    </w:p>
    <w:p w:rsidR="009868FD" w:rsidRPr="009868FD" w:rsidRDefault="009868FD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 оснований для отчисления является исчерпывающим.</w:t>
      </w:r>
    </w:p>
    <w:p w:rsidR="009868FD" w:rsidRPr="009868FD" w:rsidRDefault="00433171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.2 Отчисление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спортсмена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применяется в случае, если меры дисциплинарного характера не дали положительного результата и дальнейшее его пребывание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Учреждении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оказывает отрицательное влияние на товарищей по группе (команде), нарушает их права и права работников </w:t>
      </w:r>
      <w:r w:rsidR="0041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</w:p>
    <w:p w:rsidR="009868FD" w:rsidRPr="009868FD" w:rsidRDefault="00DB54F7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.3 Отчисление может производиться после окончания этапа спортивной, предспортивной подготовки и (или) в течение текущего года.</w:t>
      </w:r>
    </w:p>
    <w:p w:rsidR="009868FD" w:rsidRPr="009868FD" w:rsidRDefault="00DB54F7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.4 Не допускается отчисление </w:t>
      </w:r>
      <w:r w:rsidR="0041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спортсменов 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во время болезни, если об этом было достоверно известно тренеру и (или) администрации </w:t>
      </w:r>
      <w:r w:rsidR="0041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и при наличии документального подтверждения нетрудоспособности (освобождения от тренировок).</w:t>
      </w:r>
    </w:p>
    <w:p w:rsidR="009868FD" w:rsidRPr="009868FD" w:rsidRDefault="00DB54F7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.5 Решение об отчислении </w:t>
      </w:r>
      <w:r w:rsidR="0041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спортсменов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принимается тренерским советом </w:t>
      </w:r>
      <w:r w:rsidR="00414C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Учреждения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9868FD" w:rsidRPr="009868FD" w:rsidRDefault="00DB54F7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.6 Решение об отчислении оформляется приказом директора.</w:t>
      </w:r>
    </w:p>
    <w:p w:rsidR="009868FD" w:rsidRPr="009868FD" w:rsidRDefault="00DB54F7" w:rsidP="001505C9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.7 Копия приказа директора об отчислении выдается</w:t>
      </w:r>
      <w:r w:rsidR="00DC24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C248D" w:rsidRPr="00EE60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 требованию </w:t>
      </w:r>
      <w:r w:rsidR="009868FD" w:rsidRPr="00EE60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лицу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отчисленному</w:t>
      </w:r>
      <w:r w:rsidR="00DC248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9868FD" w:rsidRPr="009868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из учреждения и (или) его родителям (законным представителям) в трехдневный срок после его издания.</w:t>
      </w:r>
    </w:p>
    <w:sectPr w:rsidR="009868FD" w:rsidRPr="0098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A17"/>
    <w:multiLevelType w:val="hybridMultilevel"/>
    <w:tmpl w:val="F0C45374"/>
    <w:lvl w:ilvl="0" w:tplc="218EC766">
      <w:start w:val="1"/>
      <w:numFmt w:val="decimal"/>
      <w:lvlText w:val="%1."/>
      <w:lvlJc w:val="left"/>
      <w:pPr>
        <w:ind w:left="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0A"/>
    <w:rsid w:val="00084C91"/>
    <w:rsid w:val="001505C9"/>
    <w:rsid w:val="0024025F"/>
    <w:rsid w:val="0028191A"/>
    <w:rsid w:val="002A764B"/>
    <w:rsid w:val="003F30E1"/>
    <w:rsid w:val="003F3CE9"/>
    <w:rsid w:val="00414C4C"/>
    <w:rsid w:val="00433171"/>
    <w:rsid w:val="00612AB0"/>
    <w:rsid w:val="0080317C"/>
    <w:rsid w:val="008D0D48"/>
    <w:rsid w:val="00914DE2"/>
    <w:rsid w:val="009868FD"/>
    <w:rsid w:val="00A77EFF"/>
    <w:rsid w:val="00BD3BE5"/>
    <w:rsid w:val="00C91E58"/>
    <w:rsid w:val="00D47902"/>
    <w:rsid w:val="00DB54F7"/>
    <w:rsid w:val="00DC248D"/>
    <w:rsid w:val="00E83E0A"/>
    <w:rsid w:val="00EE607F"/>
    <w:rsid w:val="00F4144C"/>
    <w:rsid w:val="00F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0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8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0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0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8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B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0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Секретарь-2этаж</dc:creator>
  <cp:lastModifiedBy>Секретарь-2этаж</cp:lastModifiedBy>
  <cp:revision>5</cp:revision>
  <cp:lastPrinted>2018-08-20T13:24:00Z</cp:lastPrinted>
  <dcterms:created xsi:type="dcterms:W3CDTF">2018-08-20T12:58:00Z</dcterms:created>
  <dcterms:modified xsi:type="dcterms:W3CDTF">2018-09-27T13:51:00Z</dcterms:modified>
</cp:coreProperties>
</file>